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1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Методика распределения суб</w:t>
      </w:r>
      <w:r>
        <w:rPr>
          <w:b/>
          <w:sz w:val="28"/>
          <w:szCs w:val="28"/>
        </w:rPr>
        <w:t xml:space="preserve">венций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на осуществление полномочий по обеспечению жильем отдельных категорий граждан, установленных Федеральным законом от 12 января 1995 года № 5-ФЗ «О ветеранах»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1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61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Методика расчета субвенции на обеспечение жильем отдельных категорий граждан утвержд</w:t>
      </w:r>
      <w:r>
        <w:rPr>
          <w:sz w:val="28"/>
          <w:szCs w:val="28"/>
        </w:rPr>
        <w:t xml:space="preserve">ена</w:t>
      </w:r>
      <w:r>
        <w:rPr>
          <w:sz w:val="28"/>
          <w:szCs w:val="28"/>
        </w:rPr>
        <w:t xml:space="preserve"> законом Новосибирской области</w:t>
      </w:r>
      <w:r>
        <w:rPr>
          <w:sz w:val="28"/>
          <w:szCs w:val="28"/>
        </w:rPr>
        <w:t xml:space="preserve"> от 24.11.2014 № 490-ОЗ </w:t>
      </w:r>
      <w:r>
        <w:rPr>
          <w:sz w:val="28"/>
          <w:szCs w:val="28"/>
        </w:rPr>
        <w:t xml:space="preserve">«О </w:t>
      </w:r>
      <w:r>
        <w:rPr>
          <w:sz w:val="28"/>
          <w:szCs w:val="28"/>
        </w:rPr>
        <w:t xml:space="preserve">наделении органов местного самоуправления муниципальных образований Новосибирской области отдельными государственными полномочиями по обеспечению граждан жилыми помещениями»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</w:r>
    </w:p>
    <w:p>
      <w:pPr>
        <w:pStyle w:val="616"/>
        <w:ind w:firstLine="709"/>
        <w:jc w:val="both"/>
        <w:rPr>
          <w:b w:val="0"/>
          <w:bCs w:val="0"/>
          <w:sz w:val="28"/>
          <w:szCs w:val="28"/>
        </w:rPr>
      </w:pPr>
      <w:r>
        <w:rPr>
          <w:sz w:val="28"/>
          <w:szCs w:val="28"/>
        </w:rPr>
        <w:t xml:space="preserve">Методика разработана в соответствии с Бюджетным кодексом Российской Федерации, </w:t>
      </w:r>
      <w:r>
        <w:rPr>
          <w:b w:val="0"/>
          <w:bCs w:val="0"/>
          <w:sz w:val="28"/>
          <w:szCs w:val="28"/>
        </w:rPr>
        <w:t xml:space="preserve">Федеральным законом от 12 января 1995 года № 5-ФЗ «О ветеранах».</w:t>
      </w:r>
      <w:r>
        <w:rPr>
          <w:b w:val="0"/>
          <w:bCs w:val="0"/>
          <w:sz w:val="28"/>
          <w:szCs w:val="28"/>
        </w:rPr>
      </w:r>
      <w:r>
        <w:rPr>
          <w:b w:val="0"/>
          <w:bCs w:val="0"/>
          <w:sz w:val="28"/>
          <w:szCs w:val="28"/>
        </w:rPr>
      </w:r>
    </w:p>
    <w:p>
      <w:pPr>
        <w:pStyle w:val="616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С</w:t>
      </w:r>
      <w:r>
        <w:rPr>
          <w:rFonts w:eastAsia="Calibri"/>
          <w:sz w:val="28"/>
          <w:szCs w:val="28"/>
          <w:lang w:eastAsia="en-US"/>
        </w:rPr>
        <w:t xml:space="preserve">убвенции местным бюджетам на обеспечение жилыми помещениями </w:t>
      </w:r>
      <w:r>
        <w:rPr>
          <w:sz w:val="28"/>
          <w:szCs w:val="28"/>
        </w:rPr>
        <w:t xml:space="preserve">ветеранов и инвалидов боевых действий, членов семей погибших (умерших)</w:t>
      </w:r>
      <w:r>
        <w:rPr>
          <w:sz w:val="28"/>
          <w:szCs w:val="28"/>
        </w:rPr>
        <w:t xml:space="preserve"> инвалидов и ветеранов боевых действий и иных лиц, на которых распространяется мера социальной поддержки по обеспечению за счет средств федерального бюджета жильем, нуждающихся в улучшении жилищных условий, вставших на учет до 1 января 2005 года</w:t>
      </w:r>
      <w:r>
        <w:rPr>
          <w:rFonts w:eastAsia="Calibri"/>
          <w:sz w:val="28"/>
          <w:szCs w:val="28"/>
          <w:lang w:eastAsia="en-US"/>
        </w:rPr>
        <w:t xml:space="preserve">, </w:t>
      </w:r>
      <w:r>
        <w:rPr>
          <w:sz w:val="28"/>
          <w:szCs w:val="28"/>
        </w:rPr>
        <w:t xml:space="preserve">рассчитываютс</w:t>
      </w:r>
      <w:r>
        <w:rPr>
          <w:sz w:val="28"/>
          <w:szCs w:val="28"/>
        </w:rPr>
        <w:t xml:space="preserve">я исходя из объема субвенции, предусмотренного областному бюджету </w:t>
      </w:r>
      <w:r>
        <w:rPr>
          <w:sz w:val="28"/>
          <w:szCs w:val="28"/>
        </w:rPr>
        <w:t xml:space="preserve">Новосибирской области федеральным законом о федеральном бюджете на соответствующий финансовый год на осуществление полномочий по обеспечению жильем граждан, относящихся к данным категориям</w:t>
      </w:r>
      <w:r>
        <w:rPr>
          <w:sz w:val="28"/>
          <w:szCs w:val="28"/>
        </w:rPr>
        <w:t xml:space="preserve">.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</w:r>
    </w:p>
    <w:p>
      <w:pPr>
        <w:pStyle w:val="621"/>
        <w:ind w:firstLine="709"/>
        <w:jc w:val="both"/>
        <w:rPr>
          <w:color w:val="000000" w:themeColor="text1"/>
        </w:rPr>
      </w:pPr>
      <w:r>
        <w:t xml:space="preserve">Общий объем субвенций, предоставляемых местным бюджетам из областного бюджета Новосибирской области для осуществления отдельных государственных полномочий по обеспечению жилыми помещениями граждан, относящихся к </w:t>
      </w:r>
      <w:r>
        <w:t xml:space="preserve">указанным </w:t>
      </w:r>
      <w:r>
        <w:t xml:space="preserve">категориям, рассчитывается от </w:t>
      </w:r>
      <w:r>
        <w:rPr>
          <w:color w:val="000000" w:themeColor="text1"/>
        </w:rPr>
      </w:r>
      <w:r>
        <w:t xml:space="preserve">объема субвенции для осуществления отдельных государственных полномочий по обеспечению жилыми помещениями граждан, относящихся к </w:t>
      </w:r>
      <w:r>
        <w:t xml:space="preserve">указанным </w:t>
      </w:r>
      <w:r>
        <w:t xml:space="preserve">категориям, </w:t>
      </w:r>
      <w:r>
        <w:t xml:space="preserve">предоставляемой бюджету i-го муниципального образования Новосибирской области.</w:t>
      </w:r>
      <w:r/>
      <w:r>
        <w:rPr>
          <w:color w:val="000000" w:themeColor="text1"/>
        </w:rPr>
      </w:r>
    </w:p>
    <w:p>
      <w:pPr>
        <w:pStyle w:val="621"/>
        <w:ind w:firstLine="709"/>
        <w:jc w:val="both"/>
      </w:pPr>
      <w:r>
        <w:t xml:space="preserve">Объем субвенции для осуществления отдельных государственных полномочий по обеспечению жилыми помещениями граждан, относящихся к </w:t>
      </w:r>
      <w:r>
        <w:t xml:space="preserve">указанным </w:t>
      </w:r>
      <w:r>
        <w:t xml:space="preserve">категориям, предоставляемой бюджету i-го муниципального образования Новосибирской области</w:t>
      </w:r>
      <w:r>
        <w:t xml:space="preserve">, рассчитывается исходя из </w:t>
      </w:r>
      <w:r>
        <w:t xml:space="preserve">количества граждан, относящихся к данным категориям, подлежащих обес</w:t>
      </w:r>
      <w:r>
        <w:t xml:space="preserve">печению жилыми помещениями в соответствующем финансовом году в i-м муниципальном образовании Новосибирской области, определяемое областным исполнительным органом государственной власти Новосибирской области, уполномоченным в сфере строительства, исходя из:</w:t>
      </w:r>
      <w:r/>
      <w:r/>
    </w:p>
    <w:p>
      <w:pPr>
        <w:pStyle w:val="621"/>
        <w:ind w:firstLine="709"/>
        <w:jc w:val="both"/>
      </w:pPr>
      <w:r>
        <w:t xml:space="preserve">общего количества граждан, относящихся к данным категориям, подлежащих обеспечению жилыми помещениями в Новосибирской области в соответствующем финансовом году</w:t>
      </w:r>
      <w:r>
        <w:t xml:space="preserve">;</w:t>
      </w:r>
      <w:r/>
    </w:p>
    <w:p>
      <w:pPr>
        <w:pStyle w:val="621"/>
        <w:ind w:firstLine="709"/>
        <w:jc w:val="both"/>
      </w:pPr>
      <w:r>
        <w:t xml:space="preserve">очередности граждан, относящихся к данным категориям, проживающих в i-м муниципальном образовании Новосибирской области, определяемой в соответствии с датой постановки их на учет;</w:t>
      </w:r>
      <w:r/>
    </w:p>
    <w:p>
      <w:pPr>
        <w:pStyle w:val="621"/>
        <w:ind w:firstLine="709"/>
        <w:jc w:val="both"/>
      </w:pPr>
      <w:r>
        <w:rPr>
          <w:position w:val="-8"/>
        </w:rPr>
      </w:r>
      <w:r>
        <w:t xml:space="preserve">нормы предоставления площади жилого помещения, установленная </w:t>
      </w:r>
      <w:r>
        <w:fldChar w:fldCharType="begin"/>
      </w:r>
      <w:r>
        <w:instrText xml:space="preserve">HYPERLINK consultantplus://offline/ref=32C901B02C5E5D1834002081A72009EC03DBCA203EA42B6466488614D42F357BC0023AE5016A0BD4R8Y5I </w:instrText>
      </w:r>
      <w:r>
        <w:fldChar w:fldCharType="separate"/>
      </w:r>
      <w:r>
        <w:t xml:space="preserve">статьей 28.2</w:t>
      </w:r>
      <w:r>
        <w:fldChar w:fldCharType="end"/>
      </w:r>
      <w:r>
        <w:t xml:space="preserve"> Федерального </w:t>
      </w:r>
      <w:r>
        <w:t xml:space="preserve">закона от 24 ноября 1995 года № 181-ФЗ «</w:t>
      </w:r>
      <w:r>
        <w:t xml:space="preserve">О </w:t>
      </w:r>
      <w:r>
        <w:t xml:space="preserve">социальной защите инвалидов в Р</w:t>
      </w:r>
      <w:r>
        <w:t xml:space="preserve">оссийской Федерации»</w:t>
      </w:r>
      <w:r>
        <w:t xml:space="preserve">;</w:t>
      </w:r>
      <w:r/>
    </w:p>
    <w:p>
      <w:pPr>
        <w:pStyle w:val="621"/>
        <w:ind w:firstLine="709"/>
        <w:jc w:val="both"/>
      </w:pPr>
      <w:r>
        <w:t xml:space="preserve">средней рыночной стоимости 1 квадратного метра общей площади жилого помещения по Новосибирской области, устанавливаемая федеральным органом исполнительной власти, уполномоченным Правительством Российской Федерации.</w:t>
      </w:r>
      <w:r/>
    </w:p>
    <w:p>
      <w:pPr>
        <w:pStyle w:val="621"/>
        <w:ind w:firstLine="709"/>
        <w:jc w:val="both"/>
      </w:pPr>
      <w:r/>
      <w:r/>
    </w:p>
    <w:p>
      <w:pPr>
        <w:pStyle w:val="616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16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16"/>
        <w:rPr>
          <w:sz w:val="28"/>
          <w:szCs w:val="28"/>
        </w:rPr>
      </w:pPr>
      <w:r>
        <w:rPr>
          <w:sz w:val="28"/>
          <w:szCs w:val="28"/>
        </w:rPr>
        <w:t xml:space="preserve">Министр строительства</w:t>
      </w:r>
      <w:r>
        <w:rPr>
          <w:sz w:val="28"/>
          <w:szCs w:val="28"/>
        </w:rPr>
      </w:r>
    </w:p>
    <w:p>
      <w:pPr>
        <w:pStyle w:val="616"/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                                                     Д.Н. Богомолов</w:t>
      </w:r>
      <w:r>
        <w:rPr>
          <w:sz w:val="28"/>
          <w:szCs w:val="28"/>
        </w:rPr>
      </w:r>
    </w:p>
    <w:p>
      <w:pPr>
        <w:pStyle w:val="616"/>
        <w:jc w:val="both"/>
        <w:rPr>
          <w:sz w:val="28"/>
          <w:szCs w:val="28"/>
        </w:rPr>
        <w:outlineLvl w:val="3"/>
      </w:pP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w="11906" w:h="16838" w:orient="portrait"/>
      <w:pgMar w:top="851" w:right="567" w:bottom="851" w:left="1418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Courier New">
    <w:panose1 w:val="020703090202050204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6"/>
    <w:next w:val="616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6"/>
    <w:next w:val="616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6"/>
    <w:next w:val="616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6"/>
    <w:next w:val="616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6"/>
    <w:next w:val="616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6"/>
    <w:next w:val="616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6"/>
    <w:next w:val="616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6"/>
    <w:next w:val="616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6"/>
    <w:next w:val="616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6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6"/>
    <w:next w:val="616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6"/>
    <w:next w:val="616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6"/>
    <w:next w:val="616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6"/>
    <w:next w:val="616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6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6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6"/>
    <w:next w:val="61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6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6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6"/>
    <w:next w:val="616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6"/>
    <w:next w:val="616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6"/>
    <w:next w:val="616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6"/>
    <w:next w:val="616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6"/>
    <w:next w:val="616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6"/>
    <w:next w:val="616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6"/>
    <w:next w:val="616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6"/>
    <w:next w:val="616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6"/>
    <w:next w:val="616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6"/>
    <w:next w:val="616"/>
    <w:uiPriority w:val="99"/>
    <w:unhideWhenUsed/>
    <w:pPr>
      <w:spacing w:after="0" w:afterAutospacing="0"/>
    </w:pPr>
  </w:style>
  <w:style w:type="paragraph" w:styleId="616" w:default="1">
    <w:name w:val="Normal"/>
    <w:next w:val="616"/>
    <w:link w:val="616"/>
    <w:qFormat/>
    <w:rPr>
      <w:sz w:val="24"/>
      <w:szCs w:val="24"/>
      <w:lang w:val="ru-RU" w:eastAsia="ru-RU" w:bidi="ar-SA"/>
    </w:rPr>
  </w:style>
  <w:style w:type="character" w:styleId="617">
    <w:name w:val="Основной шрифт абзаца"/>
    <w:next w:val="617"/>
    <w:link w:val="616"/>
    <w:uiPriority w:val="1"/>
    <w:semiHidden/>
    <w:unhideWhenUsed/>
  </w:style>
  <w:style w:type="table" w:styleId="618">
    <w:name w:val="Обычная таблица"/>
    <w:next w:val="618"/>
    <w:link w:val="616"/>
    <w:uiPriority w:val="99"/>
    <w:semiHidden/>
    <w:unhideWhenUsed/>
    <w:qFormat/>
    <w:tblPr/>
  </w:style>
  <w:style w:type="numbering" w:styleId="619">
    <w:name w:val="Нет списка"/>
    <w:next w:val="619"/>
    <w:link w:val="616"/>
    <w:uiPriority w:val="99"/>
    <w:semiHidden/>
    <w:unhideWhenUsed/>
  </w:style>
  <w:style w:type="paragraph" w:styleId="620">
    <w:name w:val="ConsPlusNonformat"/>
    <w:next w:val="620"/>
    <w:link w:val="616"/>
    <w:rPr>
      <w:rFonts w:ascii="Courier New" w:hAnsi="Courier New" w:cs="Courier New"/>
      <w:lang w:val="ru-RU" w:eastAsia="ru-RU" w:bidi="ar-SA"/>
    </w:rPr>
  </w:style>
  <w:style w:type="paragraph" w:styleId="621">
    <w:name w:val="ConsPlusNormal"/>
    <w:next w:val="621"/>
    <w:link w:val="616"/>
    <w:rPr>
      <w:sz w:val="28"/>
      <w:szCs w:val="28"/>
      <w:lang w:val="ru-RU" w:eastAsia="ru-RU" w:bidi="ar-SA"/>
    </w:rPr>
  </w:style>
  <w:style w:type="character" w:styleId="914" w:default="1">
    <w:name w:val="Default Paragraph Font"/>
    <w:uiPriority w:val="1"/>
    <w:semiHidden/>
    <w:unhideWhenUsed/>
  </w:style>
  <w:style w:type="numbering" w:styleId="915" w:default="1">
    <w:name w:val="No List"/>
    <w:uiPriority w:val="99"/>
    <w:semiHidden/>
    <w:unhideWhenUsed/>
  </w:style>
  <w:style w:type="table" w:styleId="916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user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Методика распределения субсидий на реализацию мероприятий ведомственной целевой программы «Государственная поддержка муниципальных образований Новосибирской области по защите территорий  населенных пунктов Новосибирской области от подтопления и затоплени</dc:title>
  <dc:creator>user</dc:creator>
  <cp:revision>3</cp:revision>
  <dcterms:created xsi:type="dcterms:W3CDTF">2024-10-17T04:13:00Z</dcterms:created>
  <dcterms:modified xsi:type="dcterms:W3CDTF">2025-10-16T07:23:10Z</dcterms:modified>
  <cp:version>1048576</cp:version>
</cp:coreProperties>
</file>